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1A2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19"/>
          <w:szCs w:val="19"/>
        </w:rPr>
      </w:pPr>
      <w:r>
        <w:rPr>
          <w:rStyle w:val="7"/>
          <w:rFonts w:hint="eastAsia" w:ascii="微软雅黑" w:hAnsi="微软雅黑" w:eastAsia="微软雅黑" w:cs="微软雅黑"/>
          <w:i w:val="0"/>
          <w:iCs w:val="0"/>
          <w:caps w:val="0"/>
          <w:color w:val="333333"/>
          <w:spacing w:val="0"/>
          <w:sz w:val="19"/>
          <w:szCs w:val="19"/>
          <w:bdr w:val="none" w:color="auto" w:sz="0" w:space="0"/>
          <w:shd w:val="clear" w:fill="FFFFFF"/>
        </w:rPr>
        <w:t>人类遗传资源管理条例实施细则</w:t>
      </w:r>
    </w:p>
    <w:p w14:paraId="61B1D9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（2023年5月26日科学技术部令第21号公布,自2023年7月1日起施行）</w:t>
      </w:r>
    </w:p>
    <w:p w14:paraId="67104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ascii="黑体" w:hAnsi="宋体" w:eastAsia="黑体" w:cs="黑体"/>
          <w:b w:val="0"/>
          <w:bCs w:val="0"/>
          <w:i w:val="0"/>
          <w:iCs w:val="0"/>
          <w:caps w:val="0"/>
          <w:color w:val="333333"/>
          <w:spacing w:val="0"/>
          <w:sz w:val="25"/>
          <w:szCs w:val="25"/>
          <w:bdr w:val="none" w:color="auto" w:sz="0" w:space="0"/>
          <w:shd w:val="clear" w:fill="FFFFFF"/>
        </w:rPr>
        <w:t>第一章</w:t>
      </w:r>
      <w:r>
        <w:rPr>
          <w:rFonts w:hint="eastAsia" w:ascii="黑体" w:hAnsi="宋体" w:eastAsia="黑体" w:cs="黑体"/>
          <w:b w:val="0"/>
          <w:bCs w:val="0"/>
          <w:i w:val="0"/>
          <w:iCs w:val="0"/>
          <w:caps w:val="0"/>
          <w:color w:val="333333"/>
          <w:spacing w:val="0"/>
          <w:sz w:val="25"/>
          <w:szCs w:val="25"/>
          <w:bdr w:val="none" w:color="auto" w:sz="0" w:space="0"/>
          <w:shd w:val="clear" w:fill="FFFFFF"/>
        </w:rPr>
        <w:t>  总  则</w:t>
      </w:r>
    </w:p>
    <w:p w14:paraId="2AB446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第一条</w:t>
      </w:r>
      <w:r>
        <w:rPr>
          <w:rStyle w:val="7"/>
          <w:rFonts w:ascii="仿宋_GB2312" w:hAnsi="微软雅黑" w:eastAsia="仿宋_GB2312" w:cs="仿宋_GB2312"/>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为有效保护和合理利用我国人类遗传资源，维护公众健康、国家安全和社会公共利益，根据《中华人民共和国生物安全法》《中华人民共和国人类遗传资源管理条例》（以下称《条例》）等有关法律、行政法规，制定本实施细则。</w:t>
      </w:r>
    </w:p>
    <w:p w14:paraId="52C0CA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 采集、保藏、利用、对外提供我国人类遗传资源，应当遵守本实施细则。</w:t>
      </w:r>
    </w:p>
    <w:p w14:paraId="12A454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《条例》第二条所称人类遗传资源信息包括利用人类遗传资源材料产生的人类基因、基因组数据等信息资料。</w:t>
      </w:r>
    </w:p>
    <w:p w14:paraId="1D133A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前款所称人类遗传资源信息不包括临床数据、影像数据、蛋白质数据和代谢数据。</w:t>
      </w:r>
    </w:p>
    <w:p w14:paraId="455FBC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科学技术部（以下称科技部）负责全国人类遗传资源调查、行政许可、监督检查、行政处罚等管理工作。</w:t>
      </w:r>
    </w:p>
    <w:p w14:paraId="04D0FA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科技部根据需要依法委托相关组织，开展人类遗传资源行政许可申请材料的形式审查、技术评审，以及人类遗传资源备案、事先报告、监督检查、行政处罚等工作。</w:t>
      </w:r>
    </w:p>
    <w:p w14:paraId="32358B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省、自治区、直辖市科学技术厅（委、局）、新疆生产建设兵团科学技术局（以下称省级科技行政部门）负责本区域下列人类遗传资源管理工作：</w:t>
      </w:r>
    </w:p>
    <w:p w14:paraId="3E9CC7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（一）人类遗传资源监督检查与日常管理；</w:t>
      </w:r>
    </w:p>
    <w:p w14:paraId="728796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（二）职权范围内的人类遗传资源违法案件调查处理；</w:t>
      </w:r>
    </w:p>
    <w:p w14:paraId="623745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（三）根据科技部委托，开展本区域人类遗传资源调查、人类遗传资源行政许可、人类遗传资源违法案件调查处理等工作。</w:t>
      </w:r>
    </w:p>
    <w:p w14:paraId="27F4F2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科技部和省级科技行政部门应当加强人类遗传资源监管力量，配备行政执法人员，依职权对人类遗传资源活动开展监督检查等工作，依法履行人类遗传资源监督管理职责。</w:t>
      </w:r>
    </w:p>
    <w:p w14:paraId="2B6F91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科技部聘请生命科学与技术、医药、卫生、伦理、法律、信息安全等方面的专家组成人类遗传资源管理专家咨询委员会，为全国人类遗传资源管理工作提供决策咨询和技术支撑。</w:t>
      </w:r>
    </w:p>
    <w:p w14:paraId="7BAFDE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科技部支持合理利用人类遗传资源开展科学研究、发展生物医药产业、提高诊疗技术，加强人类遗传资源管理与监督，优化审批服务，提高审批效率，推进审批规范化和信息公开，提升管理和服务水平。</w:t>
      </w:r>
    </w:p>
    <w:p w14:paraId="5B92DE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微软雅黑" w:hAnsi="微软雅黑" w:eastAsia="微软雅黑" w:cs="微软雅黑"/>
          <w:b w:val="0"/>
          <w:bCs w:val="0"/>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5"/>
          <w:szCs w:val="25"/>
          <w:bdr w:val="none" w:color="auto" w:sz="0" w:space="0"/>
          <w:shd w:val="clear" w:fill="FFFFFF"/>
        </w:rPr>
        <w:t> </w:t>
      </w:r>
    </w:p>
    <w:p w14:paraId="55AD5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第二章  总体要求</w:t>
      </w:r>
    </w:p>
    <w:p w14:paraId="5E282B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第八条</w:t>
      </w:r>
      <w:r>
        <w:rPr>
          <w:rFonts w:hint="default" w:ascii="仿宋_GB2312" w:hAnsi="微软雅黑" w:eastAsia="仿宋_GB2312" w:cs="仿宋_GB2312"/>
          <w:i w:val="0"/>
          <w:iCs w:val="0"/>
          <w:caps w:val="0"/>
          <w:color w:val="333333"/>
          <w:spacing w:val="0"/>
          <w:sz w:val="25"/>
          <w:szCs w:val="25"/>
          <w:bdr w:val="none" w:color="auto" w:sz="0" w:space="0"/>
          <w:shd w:val="clear" w:fill="FFFFFF"/>
        </w:rPr>
        <w:t> 采集、保藏、利用、对外提供我国人类遗传资源，应当符合伦理原则，通过已在有关管理部门备案的伦理（审查）委员会的伦理审查。开展伦理审查应当遵守法律、行政法规和国家有关规定。</w:t>
      </w:r>
    </w:p>
    <w:p w14:paraId="4BBCB6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第九条</w:t>
      </w:r>
      <w:r>
        <w:rPr>
          <w:rFonts w:hint="default" w:ascii="仿宋_GB2312" w:hAnsi="微软雅黑" w:eastAsia="仿宋_GB2312" w:cs="仿宋_GB2312"/>
          <w:i w:val="0"/>
          <w:iCs w:val="0"/>
          <w:caps w:val="0"/>
          <w:color w:val="333333"/>
          <w:spacing w:val="0"/>
          <w:sz w:val="25"/>
          <w:szCs w:val="25"/>
          <w:bdr w:val="none" w:color="auto" w:sz="0" w:space="0"/>
          <w:shd w:val="clear" w:fill="FFFFFF"/>
        </w:rPr>
        <w:t> 采集、保藏、利用、对外提供我国人类遗传资源，应当尊重和保障人类遗传资源提供者的隐私权和个人信息等权益，按规定获取书面知情同意，确保人类遗传资源提供者的合法权益不受侵害。</w:t>
      </w:r>
    </w:p>
    <w:p w14:paraId="0C8387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第十条</w:t>
      </w:r>
      <w:r>
        <w:rPr>
          <w:rFonts w:hint="default" w:ascii="仿宋_GB2312" w:hAnsi="微软雅黑" w:eastAsia="仿宋_GB2312" w:cs="仿宋_GB2312"/>
          <w:i w:val="0"/>
          <w:iCs w:val="0"/>
          <w:caps w:val="0"/>
          <w:color w:val="333333"/>
          <w:spacing w:val="0"/>
          <w:sz w:val="25"/>
          <w:szCs w:val="25"/>
          <w:bdr w:val="none" w:color="auto" w:sz="0" w:space="0"/>
          <w:shd w:val="clear" w:fill="FFFFFF"/>
        </w:rPr>
        <w:t> 采集、保藏、利用、对外提供我国人类遗传资源，应当遵守科技活动的相关要求及技术规范，包括但不限于标准、规范、规程等。</w:t>
      </w:r>
    </w:p>
    <w:p w14:paraId="6632B0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在我国境内采集、保藏我国人类遗传资源或者向境外提供我国人类遗传资源，必须由我国科研机构、高等学校、医疗机构或者企业（以下称中方单位）开展。设在港澳的内资实控机构视为中方单位。</w:t>
      </w:r>
    </w:p>
    <w:p w14:paraId="611B8D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境外组织及境外组织、个人设立或者实际控制的机构（以下称外方单位）以及境外个人不得在我国境内采集、保藏我国人类遗传资源，不得向境外提供我国人类遗传资源。</w:t>
      </w:r>
    </w:p>
    <w:p w14:paraId="46EC3D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 本实施细则第十一条所称境外组织、个人设立或者实际控制的机构，包括下列情形：</w:t>
      </w:r>
    </w:p>
    <w:p w14:paraId="688CE7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（一）境外组织、个人持有或者间接持有机构百分之五十以上的股份、股权、表决权、财产份额或者其他类似权益；</w:t>
      </w:r>
    </w:p>
    <w:p w14:paraId="2EAAC3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（二）境外组织、个人持有或者间接持有机构的股份、股权、表决权、财产份额或者其他类似权益不足百分之五十，但其所享有的表决权或者其他权益足以对机构的决策、管理等行为进行支配或者施加重大影响；</w:t>
      </w:r>
    </w:p>
    <w:p w14:paraId="51CF6D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（三）境外组织、个人通过投资关系、协议或者其他安排，足以对机构的决策、管理等行为进行支配或者施加重大影响；</w:t>
      </w:r>
    </w:p>
    <w:p w14:paraId="0FD289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（四）法律、行政法规、规章规定的其他情形。</w:t>
      </w:r>
    </w:p>
    <w:p w14:paraId="4D236D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 采集、保藏、利用、对外提供我国人类遗传资源的单位应当加强管理制度建设，对涉及人类遗传资源开展科学研究的目的和研究方案等事项进行审查，确保人类遗传资源合法使用。</w:t>
      </w:r>
    </w:p>
    <w:p w14:paraId="69DF49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利用我国人类遗传资源开展国际科学研究合作，应当保证中方单位及其研究人员全过程、实质性地参与研究，依法分享相关权益。国际科学研究合作过程中，利用我国人类遗传资源产生的所有记录以及数据信息等应当完全向中方单位开放，并向中方单位提供备份。</w:t>
      </w:r>
    </w:p>
    <w:p w14:paraId="31FEF3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第十五条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加强人类遗传资源管理信息化建设，建立公开统一的人类遗传资源行政许可、备案与安全审查工作信息系统平台，为申请人通过互联网办理行政许可、备案等事项提供便利，推进实时动态管理，实现人类遗传资源管理信息可追溯、可查询。</w:t>
      </w:r>
    </w:p>
    <w:p w14:paraId="3C85F4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第十六条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会同国务院有关部门及省级科技行政部门推动我国科研机构、高等学校、医疗机构和企业依法依规开展人类遗传资源保藏工作，推进标准化、规范化的人类遗传资源保藏基础平台和大数据建设，并依照国家有关规定向有关科研机构、高等学校、医疗机构和企业开放。</w:t>
      </w:r>
    </w:p>
    <w:p w14:paraId="2EE6D3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 针对公共卫生事件等突发事件，科技部建立快速审批机制，对突发事件应急处置中涉及的人类遗传资源行政许可申请，应当加快办理。</w:t>
      </w:r>
    </w:p>
    <w:p w14:paraId="43A429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对实施快速审批的人类遗传资源行政许可申请，科技部按照统一指挥、高效快速、科学审批的原则，加快组织开展行政许可申请的受理、评审、审查等工作。快速审批的情形、程序、时限、要求等事项由科技部另行规定。</w:t>
      </w:r>
    </w:p>
    <w:p w14:paraId="00A162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第十八条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科技部制定并及时发布采集、保藏、利用、对外提供我国人类遗传资源行政许可、备案等服务指南和示范文本，为申请人办理人类遗传资源行政许可、备案等事项提供便捷和专业的指导和服务。</w:t>
      </w:r>
    </w:p>
    <w:p w14:paraId="55847A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第十九条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科技部定期对从事人类遗传资源采集、保藏、利用、对外提供等活动的科研人员和相关部门管理人员进行培训，增强法律意识和责任意识，提升管理服务能力。</w:t>
      </w:r>
    </w:p>
    <w:p w14:paraId="5C2B7A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科技部和省级科技行政部门应当建立并不断完善廉政风险防控措施，健全监督制约机制，加强对本机关人类遗传资源管理重要环节和关键岗位的监督。</w:t>
      </w:r>
    </w:p>
    <w:p w14:paraId="6841F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微软雅黑" w:hAnsi="微软雅黑" w:eastAsia="微软雅黑" w:cs="微软雅黑"/>
          <w:b w:val="0"/>
          <w:bCs w:val="0"/>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5"/>
          <w:szCs w:val="25"/>
          <w:bdr w:val="none" w:color="auto" w:sz="0" w:space="0"/>
          <w:shd w:val="clear" w:fill="FFFFFF"/>
        </w:rPr>
        <w:t> </w:t>
      </w:r>
    </w:p>
    <w:p w14:paraId="0F568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第三章  调查与登记</w:t>
      </w:r>
    </w:p>
    <w:p w14:paraId="2454FC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科技部负责组织开展全国人类遗传资源调查工作。省级科技行政部门受科技部委托，负责开展本区域人类遗传资源调查工作。</w:t>
      </w:r>
    </w:p>
    <w:p w14:paraId="012275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全国人类遗传资源调查每五年开展一次，必要时可以根据实际需要开展。</w:t>
      </w:r>
    </w:p>
    <w:p w14:paraId="3D3345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科技部组织相关领域专家制定全国人类遗传资源调查工作方案。省级科技行政部门完成本区域人类遗传资源调查工作后，应当将取得的调查数据、信息及时汇总并报送科技部。</w:t>
      </w:r>
    </w:p>
    <w:p w14:paraId="48B715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科技部在全国人类遗传资源调查等工作基础上，组织开展重要遗传家系和特定地区人类遗传资源研究，逐步建立我国重要遗传家系和特定地区人类遗传资源清单目录，并适时修订完善。</w:t>
      </w:r>
    </w:p>
    <w:p w14:paraId="00B605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第二十五条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科技部负责重要遗传家系和特定地区人类遗传资源登记工作，制定申报登记管理办法，建立申报登记管理信息服务平台。</w:t>
      </w:r>
    </w:p>
    <w:p w14:paraId="05EADB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第二十六条</w:t>
      </w:r>
      <w:r>
        <w:rPr>
          <w:rFonts w:hint="default" w:ascii="仿宋_GB2312" w:hAnsi="微软雅黑" w:eastAsia="仿宋_GB2312" w:cs="仿宋_GB2312"/>
          <w:i w:val="0"/>
          <w:iCs w:val="0"/>
          <w:caps w:val="0"/>
          <w:color w:val="333333"/>
          <w:spacing w:val="0"/>
          <w:sz w:val="25"/>
          <w:szCs w:val="25"/>
          <w:bdr w:val="none" w:color="auto" w:sz="0" w:space="0"/>
          <w:shd w:val="clear" w:fill="FFFFFF"/>
        </w:rPr>
        <w:t> 我国科研机构、高等学校、医疗机构、企业发现重要遗传家系和特定地区人类遗传资源，应当及时通过申报登记管理信息服务平台进行申报。</w:t>
      </w:r>
    </w:p>
    <w:p w14:paraId="6A702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微软雅黑" w:hAnsi="微软雅黑" w:eastAsia="微软雅黑" w:cs="微软雅黑"/>
          <w:b w:val="0"/>
          <w:bCs w:val="0"/>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5"/>
          <w:szCs w:val="25"/>
          <w:bdr w:val="none" w:color="auto" w:sz="0" w:space="0"/>
          <w:shd w:val="clear" w:fill="FFFFFF"/>
        </w:rPr>
        <w:t> </w:t>
      </w:r>
    </w:p>
    <w:p w14:paraId="20B3E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第四章  行政许可与备案</w:t>
      </w:r>
    </w:p>
    <w:p w14:paraId="6853E7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第一节  采集、保藏行政许可</w:t>
      </w:r>
    </w:p>
    <w:p w14:paraId="7C5F2C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 人类遗传资源采集行政许可适用于拟在我国境内开展的下列活动：</w:t>
      </w:r>
    </w:p>
    <w:p w14:paraId="3A6C62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重要遗传家系人类遗传资源采集活动。重要遗传家系是指患有遗传性疾病、具有遗传性特殊体质或者生理特征的有血缘关系的群体，且该群体中患有遗传性疾病、具有遗传性特殊体质或者生理特征的成员涉及三代或者三代以上，高血压、糖尿病、红绿色盲、血友病等常见疾病不在此列。首次发现的重要遗传家系应当按照本实施细则第二十六条规定及时进行申报。</w:t>
      </w:r>
    </w:p>
    <w:p w14:paraId="2BAA74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特定地区人类遗传资源采集活动。特定地区人类遗传资源是指在隔离或者特殊环境下长期生活，并具有特殊体质特征或者在生理特征方面有适应性性状发生的人类遗传资源。特定地区不以是否为少数民族聚居区为划分依据。</w:t>
      </w:r>
    </w:p>
    <w:p w14:paraId="3313DD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用于大规模人群研究且人数大于3000例的人类遗传资源采集活动。大规模人群研究包括但不限于队列研究、横断面研究、临床研究、体质学研究等。为取得相关药品和医疗器械在我国上市许可的临床试验涉及的人类遗传资源采集活动不在此列，无需申请人类遗传资源采集行政许可。</w:t>
      </w:r>
    </w:p>
    <w:p w14:paraId="3C1068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第二十八条</w:t>
      </w:r>
      <w:r>
        <w:rPr>
          <w:rFonts w:hint="default" w:ascii="仿宋_GB2312" w:hAnsi="微软雅黑" w:eastAsia="仿宋_GB2312" w:cs="仿宋_GB2312"/>
          <w:i w:val="0"/>
          <w:iCs w:val="0"/>
          <w:caps w:val="0"/>
          <w:color w:val="333333"/>
          <w:spacing w:val="0"/>
          <w:sz w:val="25"/>
          <w:szCs w:val="25"/>
          <w:bdr w:val="none" w:color="auto" w:sz="0" w:space="0"/>
          <w:shd w:val="clear" w:fill="FFFFFF"/>
        </w:rPr>
        <w:t> 人类遗传资源保藏行政许可适用于在我国境内开展人类遗传资源保藏、为科学研究提供基础平台的活动。</w:t>
      </w:r>
    </w:p>
    <w:p w14:paraId="1799AA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人类遗传资源保藏活动是指将有合法来源的人类遗传资源保存在适宜环境条件下，保证其质量和安全，用于未来科学研究的行为，不包括以教学为目的、在实验室检测后按照法律法规要求或者临床研究方案约定的临时存储行为。</w:t>
      </w:r>
    </w:p>
    <w:p w14:paraId="6C9257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第二十九条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应当申请行政许可的人类遗传资源保藏活动同时涉及人类遗传资源采集的，申请人仅需要申请人类遗传资源保藏行政许可，无需另行申请人类遗传资源采集行政许可。</w:t>
      </w:r>
    </w:p>
    <w:p w14:paraId="59B866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第三十条</w:t>
      </w:r>
      <w:r>
        <w:rPr>
          <w:rFonts w:hint="default" w:ascii="仿宋_GB2312" w:hAnsi="微软雅黑" w:eastAsia="仿宋_GB2312" w:cs="仿宋_GB2312"/>
          <w:i w:val="0"/>
          <w:iCs w:val="0"/>
          <w:caps w:val="0"/>
          <w:color w:val="333333"/>
          <w:spacing w:val="0"/>
          <w:sz w:val="25"/>
          <w:szCs w:val="25"/>
          <w:bdr w:val="none" w:color="auto" w:sz="0" w:space="0"/>
          <w:shd w:val="clear" w:fill="FFFFFF"/>
        </w:rPr>
        <w:t> 人类遗传资源保藏单位应当依据《条例》第十五条规定，于每年1月31日前向科技部提交上一年度本单位保藏人类遗传资源情况年度报告。年度报告应当载明下列内容：</w:t>
      </w:r>
    </w:p>
    <w:p w14:paraId="69CBAA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（一）保藏的人类遗传资源情况；</w:t>
      </w:r>
    </w:p>
    <w:p w14:paraId="1CB0CE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（二）人类遗传资源来源信息和使用信息；</w:t>
      </w:r>
    </w:p>
    <w:p w14:paraId="62286E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（三）人类遗传资源保藏相关管理制度的执行情况；</w:t>
      </w:r>
    </w:p>
    <w:p w14:paraId="50D7DA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（四）本单位用于保藏人类遗传资源的场所、设施、设备的维护和变动情况；</w:t>
      </w:r>
    </w:p>
    <w:p w14:paraId="5C0B69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（五）本单位负责保藏工作的主要管理人员变动情况。</w:t>
      </w:r>
    </w:p>
    <w:p w14:paraId="654F5C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人类遗传资源保藏单位应当加强管理，确保保藏的人类遗传资源来源合法。科技部组织各省级科技行政部门每年对本区域人类遗传资源保藏单位的保藏活动进行抽查。</w:t>
      </w:r>
    </w:p>
    <w:p w14:paraId="610821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微软雅黑" w:hAnsi="微软雅黑" w:eastAsia="微软雅黑" w:cs="微软雅黑"/>
          <w:b w:val="0"/>
          <w:bCs w:val="0"/>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5"/>
          <w:szCs w:val="25"/>
          <w:bdr w:val="none" w:color="auto" w:sz="0" w:space="0"/>
          <w:shd w:val="clear" w:fill="FFFFFF"/>
        </w:rPr>
        <w:t> </w:t>
      </w:r>
    </w:p>
    <w:p w14:paraId="5CC4CD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第二节  国际合作行政许可与备案</w:t>
      </w:r>
    </w:p>
    <w:p w14:paraId="0816D8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申请人类遗传资源国际科学研究合作行政许可，应当通过合作双方各自所在国（地区）的伦理审查。外方单位确无法提供所在国（地区）伦理审查证明材料的，可以提交外方单位认可中方单位伦理审查意见的证明材料。</w:t>
      </w:r>
    </w:p>
    <w:p w14:paraId="3BA006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 为取得相关药品和医疗器械在我国上市许可，在临床医疗卫生机构利用我国人类遗传资源开展国际合作临床试验、不涉及人类遗传资源材料出境的，不需要批准，但应当符合下列情况之一，并在开展临床试验前将拟使用的人类遗传资源种类、数量及其用途向科技部备案：</w:t>
      </w:r>
    </w:p>
    <w:p w14:paraId="285CC8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（一）涉及的人类遗传资源采集、检测、分析和剩余人类遗传资源材料处理等在临床医疗卫生机构内进行；</w:t>
      </w:r>
    </w:p>
    <w:p w14:paraId="0A31E8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（二）涉及的人类遗传资源在临床医疗卫生机构内采集，并由相关药品和医疗器械上市许可临床试验方案指定的境内单位进行检测、分析和剩余样本处理。</w:t>
      </w:r>
    </w:p>
    <w:p w14:paraId="726A46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前款所称临床医疗卫生机构是指在我国相关部门备案，依法开展临床试验的医疗机构、疾病预防控制机构等。</w:t>
      </w:r>
    </w:p>
    <w:p w14:paraId="335D90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为取得相关药品和医疗器械在我国上市许可的临床试验涉及的探索性研究部分，应当申请人类遗传资源国际科学研究合作行政许可。</w:t>
      </w:r>
    </w:p>
    <w:p w14:paraId="2E0CCE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国际科学研究合作行政许可、国际合作临床试验备案应当由中方单位和外方单位共同申请。合作各方应当对申请材料信息的真实性、准确性、完整性作出承诺。</w:t>
      </w:r>
    </w:p>
    <w:p w14:paraId="52112A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拟开展的人类遗传资源国际科学研究合作、国际合作临床试验涉及多中心临床研究的，不得拆分后申请行政许可或者备案。</w:t>
      </w:r>
    </w:p>
    <w:p w14:paraId="5536BE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开展多中心临床研究的，组长单位通过伦理审查后即可由申办方或者组长单位申请行政许可或者备案。</w:t>
      </w:r>
    </w:p>
    <w:p w14:paraId="03E5BF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申办方或者组长单位取得行政许可或者完成备案后，参与临床研究的医疗卫生机构将本单位伦理审查批件或者认可组长单位所提供伦理审查批件的证明材料以及本单位出具的承诺书提交科技部，即可开展国际合作临床研究。</w:t>
      </w:r>
    </w:p>
    <w:p w14:paraId="448B5E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第三十五条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取得国际科学研究合作行政许可或者完成国际合作临床试验备案的合作双方，应当在行政许可或者备案有效期限届满后六个月内，共同向科技部提交合作研究情况报告。合作研究情况报告应当载明下列内容：</w:t>
      </w:r>
    </w:p>
    <w:p w14:paraId="0320D3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（一）研究目的、内容等事项变化情况；</w:t>
      </w:r>
    </w:p>
    <w:p w14:paraId="69A560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（二）研究方案执行情况；</w:t>
      </w:r>
    </w:p>
    <w:p w14:paraId="23B857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（三）研究内容完成情况；</w:t>
      </w:r>
    </w:p>
    <w:p w14:paraId="0549FF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（四）我国人类遗传资源使用、处置情况；</w:t>
      </w:r>
    </w:p>
    <w:p w14:paraId="3DA548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（五）研究过程中的所有记录以及数据信息的记录、储存、使用等情况；</w:t>
      </w:r>
    </w:p>
    <w:p w14:paraId="23C40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（六）中方单位及其研究人员全过程、实质性参与研究情况以及外方单位参与研究情况；</w:t>
      </w:r>
    </w:p>
    <w:p w14:paraId="39268E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（七）研究成果产出、归属与权益分配情况；</w:t>
      </w:r>
    </w:p>
    <w:p w14:paraId="16BF16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（八）研究涉及的伦理审查情况。</w:t>
      </w:r>
    </w:p>
    <w:p w14:paraId="3FF851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center"/>
        <w:rPr>
          <w:rFonts w:hint="eastAsia" w:ascii="微软雅黑" w:hAnsi="微软雅黑" w:eastAsia="微软雅黑" w:cs="微软雅黑"/>
          <w:b w:val="0"/>
          <w:bCs w:val="0"/>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5"/>
          <w:szCs w:val="25"/>
          <w:bdr w:val="none" w:color="auto" w:sz="0" w:space="0"/>
          <w:shd w:val="clear" w:fill="FFFFFF"/>
        </w:rPr>
        <w:t> </w:t>
      </w:r>
    </w:p>
    <w:p w14:paraId="20E80B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第三节  对外提供、开放使用事先报告</w:t>
      </w:r>
    </w:p>
    <w:p w14:paraId="4ABC20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第三十六条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将人类遗传资源信息向境外组织、个人及其设立或者实际控制的机构提供或者开放使用的，中方信息所有者应当向科技部事先报告并提交信息备份。向科技部事先报告应当报送下列事项信息：</w:t>
      </w:r>
    </w:p>
    <w:p w14:paraId="375C64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（一）向境外组织、个人及其设立或者实际控制的机构提供或者开放使用我国人类遗传资源信息的目的、用途；</w:t>
      </w:r>
    </w:p>
    <w:p w14:paraId="7338CD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（二）向境外组织、个人及其设立或者实际控制的机构提供或者开放使用我国人类遗传资源信息及信息备份情况；</w:t>
      </w:r>
    </w:p>
    <w:p w14:paraId="01730A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（三）接收人类遗传资源信息的境外组织、个人及其设立或者实际控制的机构的基本情况；</w:t>
      </w:r>
    </w:p>
    <w:p w14:paraId="4B6C2C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（四）向境外组织、个人及其设立或者实际控制的机构提供或者开放使用对我国人类遗传资源保护的潜在风险评估情况。</w:t>
      </w:r>
    </w:p>
    <w:p w14:paraId="4F0C0E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已取得行政许可的国际科学研究合作或者已完成备案的国际合作临床试验实施过程中，中方单位向外方单位提供合作产生的人类遗传资源信息的，如国际合作协议中已约定由合作双方使用，不需要单独事先报告和提交信息备份。</w:t>
      </w:r>
    </w:p>
    <w:p w14:paraId="308AA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将人类遗传资源信息向境外组织、个人及其设立或者实际控制的机构提供或者开放使用，可能影响我国公众健康、国家安全和社会公共利益的，应当通过科技部组织的安全审查。</w:t>
      </w:r>
    </w:p>
    <w:p w14:paraId="3475F3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应当进行安全审查的情形包括：</w:t>
      </w:r>
    </w:p>
    <w:p w14:paraId="03ACE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（一）重要遗传家系的人类遗传资源信息；</w:t>
      </w:r>
    </w:p>
    <w:p w14:paraId="5DF4DC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（二）特定地区的人类遗传资源信息；</w:t>
      </w:r>
    </w:p>
    <w:p w14:paraId="5F1E46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（三）人数大于500例的外显子组测序、基因组测序信息资源；</w:t>
      </w:r>
    </w:p>
    <w:p w14:paraId="228A4B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（四）可能影响我国公众健康、国家安全和社会公共利益的其他情形。</w:t>
      </w:r>
    </w:p>
    <w:p w14:paraId="38AC22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第三十八条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科技部会同相关部门制定安全审查规则，组织相关领域专家进行安全评估，并根据安全评估意见作出审查决定。</w:t>
      </w:r>
    </w:p>
    <w:p w14:paraId="1B3C91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人类遗传资源出口过程中如相关物项涉及出口管制范围，须遵守国家出口管制法律法规。</w:t>
      </w:r>
    </w:p>
    <w:p w14:paraId="57FCF0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center"/>
        <w:rPr>
          <w:rFonts w:hint="eastAsia" w:ascii="微软雅黑" w:hAnsi="微软雅黑" w:eastAsia="微软雅黑" w:cs="微软雅黑"/>
          <w:b w:val="0"/>
          <w:bCs w:val="0"/>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5"/>
          <w:szCs w:val="25"/>
          <w:bdr w:val="none" w:color="auto" w:sz="0" w:space="0"/>
          <w:shd w:val="clear" w:fill="FFFFFF"/>
        </w:rPr>
        <w:t> </w:t>
      </w:r>
    </w:p>
    <w:p w14:paraId="1BF669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第四节  行政许可、备案与事先报告流程</w:t>
      </w:r>
    </w:p>
    <w:p w14:paraId="6F16DA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第三十九条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申请人的申请材料齐全、形式符合规定的，科技部应当受理并出具加盖专用印章和注明日期的纸质或者电子凭证。</w:t>
      </w:r>
    </w:p>
    <w:p w14:paraId="231CED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申请材料不齐全或者不符合法定形式的，科技部应当在收到正式申请材料之日起五个工作日内一次性告知申请人需要补正的全部内容。</w:t>
      </w:r>
    </w:p>
    <w:p w14:paraId="313482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科技部根据技术评审和安全审查工作需要，组建专家库并建立专家管理制度。</w:t>
      </w:r>
    </w:p>
    <w:p w14:paraId="685BA3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科技部按照随机抽取方式从专家库中选取评审专家，对人类遗传资源行政许可申请事项进行技术评审，对应当进行安全审查的人类遗传资源信息对外提供或者开放使用事项进行安全评估。技术评审意见、安全评估意见作为作出行政许可决定或者安全审查决定的参考依据。</w:t>
      </w:r>
    </w:p>
    <w:p w14:paraId="2A46C0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专家参与技术评审和安全审查一般采用网络方式，必要时可以采用会议、现场勘查等方式。</w:t>
      </w:r>
    </w:p>
    <w:p w14:paraId="369777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应当自受理之日起二十个工作日内，对人类遗传资源行政许可申请作出行政许可决定。二十个工作日内不能作出行政许可决定的，经科技部负责人批准，可以延长十个工作日，并将延长期限的理由告知申请人。</w:t>
      </w:r>
    </w:p>
    <w:p w14:paraId="42FD20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科技部作出行政许可决定，依法需要听证、检验、检测、检疫、鉴定、技术评审的，所需时间不计算在本实施细则第四十一条规定的期限内，但应当将所需时间书面告知申请人。</w:t>
      </w:r>
    </w:p>
    <w:p w14:paraId="0A53F2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科技部作出行政许可决定后，应当将行政许可决定书面告知申请人，并抄送申请人所在地的省级科技行政部门。</w:t>
      </w:r>
    </w:p>
    <w:p w14:paraId="1E8E44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依法作出准予行政许可决定的，应当在科技部网站予以公开。依法作出不予行政许可决定的，应当说明理由，并告知申请人享有依法申请行政复议或者提起行政诉讼的权利。</w:t>
      </w:r>
    </w:p>
    <w:p w14:paraId="44011A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取得人类遗传资源采集行政许可后，采集活动参与单位、采集目的、采集方案或者采集内容等重大事项发生变更的，被许可人应当向科技部提出变更申请。</w:t>
      </w:r>
    </w:p>
    <w:p w14:paraId="7CE1E2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第四十五条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取得人类遗传资源保藏行政许可后，保藏目的、保藏方案或者保藏内容等重大事项发生变更的，被许可人应当向科技部提出变更申请。</w:t>
      </w:r>
    </w:p>
    <w:p w14:paraId="7BE717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第四十六条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取得人类遗传资源国际科学研究合作行政许可后，开展国际科学研究合作过程中，研究目的、研究内容发生变更，研究方案涉及的人类遗传资源种类、数量、用途发生变更，或者申办方、组长单位、合同研究组织、第三方实验室等其他重大事项发生变更的，被许可人应当向科技部提出变更申请。</w:t>
      </w:r>
    </w:p>
    <w:p w14:paraId="07AB94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取得人类遗传资源国际科学研究合作行政许可后，出现下列情形的，被许可人不需要提出变更申请，但应当向科技部提交事项变更的书面说明及相应材料：</w:t>
      </w:r>
    </w:p>
    <w:p w14:paraId="54BB7D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研究内容或者研究方案不变，仅涉及总量累计不超过获批数量10%变更的；</w:t>
      </w:r>
    </w:p>
    <w:p w14:paraId="44D938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本实施细则第四十六条所列合作单位以外的参与单位发生变更的；</w:t>
      </w:r>
    </w:p>
    <w:p w14:paraId="557A1E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合作方法人单位名称发生变更的；</w:t>
      </w:r>
    </w:p>
    <w:p w14:paraId="2C69F9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研究内容或者研究方案发生变更，但不涉及人类遗传资源种类、数量、用途的变化或者变更后内容不超出已批准范围的。</w:t>
      </w:r>
    </w:p>
    <w:p w14:paraId="5CD36D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第四十八条</w:t>
      </w:r>
      <w:r>
        <w:rPr>
          <w:rFonts w:hint="default" w:ascii="仿宋_GB2312" w:hAnsi="微软雅黑" w:eastAsia="仿宋_GB2312" w:cs="仿宋_GB2312"/>
          <w:i w:val="0"/>
          <w:iCs w:val="0"/>
          <w:caps w:val="0"/>
          <w:color w:val="333333"/>
          <w:spacing w:val="0"/>
          <w:sz w:val="25"/>
          <w:szCs w:val="25"/>
          <w:bdr w:val="none" w:color="auto" w:sz="0" w:space="0"/>
          <w:shd w:val="clear" w:fill="FFFFFF"/>
        </w:rPr>
        <w:t> 被许可人对本实施细则第四十四条至第四十六条所列事项提出变更申请的，科技部应当审查并作出是否准予变更的决定。符合法定条件、标准的，科技部应当予以变更。</w:t>
      </w:r>
    </w:p>
    <w:p w14:paraId="2F17E8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变更申请的受理、审查、办理期限、决定、告知等程序参照本实施细则第三十九条至第四十三条有关行政许可申请的规定执行。</w:t>
      </w:r>
    </w:p>
    <w:p w14:paraId="2AD880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第四十九条</w:t>
      </w:r>
      <w:r>
        <w:rPr>
          <w:rFonts w:hint="default" w:ascii="仿宋_GB2312" w:hAnsi="微软雅黑" w:eastAsia="仿宋_GB2312" w:cs="仿宋_GB2312"/>
          <w:i w:val="0"/>
          <w:iCs w:val="0"/>
          <w:caps w:val="0"/>
          <w:color w:val="333333"/>
          <w:spacing w:val="0"/>
          <w:sz w:val="25"/>
          <w:szCs w:val="25"/>
          <w:bdr w:val="none" w:color="auto" w:sz="0" w:space="0"/>
          <w:shd w:val="clear" w:fill="FFFFFF"/>
        </w:rPr>
        <w:t> 行政许可决定作出前，申请人书面撤回申请的，科技部终止对行政许可申请的审查。</w:t>
      </w:r>
    </w:p>
    <w:p w14:paraId="531E64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第五十条</w:t>
      </w:r>
      <w:r>
        <w:rPr>
          <w:rFonts w:hint="default" w:ascii="仿宋_GB2312" w:hAnsi="微软雅黑" w:eastAsia="仿宋_GB2312" w:cs="仿宋_GB2312"/>
          <w:i w:val="0"/>
          <w:iCs w:val="0"/>
          <w:caps w:val="0"/>
          <w:color w:val="333333"/>
          <w:spacing w:val="0"/>
          <w:sz w:val="25"/>
          <w:szCs w:val="25"/>
          <w:bdr w:val="none" w:color="auto" w:sz="0" w:space="0"/>
          <w:shd w:val="clear" w:fill="FFFFFF"/>
        </w:rPr>
        <w:t> 有下列情形之一的，科技部根据利害关系人请求或者依据职权，可以撤销人类遗传资源行政许可：</w:t>
      </w:r>
    </w:p>
    <w:p w14:paraId="57118C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（一）滥用职权、玩忽职守作出准予行政许可决定的;</w:t>
      </w:r>
    </w:p>
    <w:p w14:paraId="2FCEFC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（二）超越法定职权作出准予行政许可决定的;</w:t>
      </w:r>
    </w:p>
    <w:p w14:paraId="49B5B4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（三）违反法定程序作出准予行政许可决定的;</w:t>
      </w:r>
    </w:p>
    <w:p w14:paraId="6CB3D0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（四）对不具备申请资格或者不符合法定条件的申请人准予行政许可的;</w:t>
      </w:r>
    </w:p>
    <w:p w14:paraId="105CC5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（五）依法可以撤销行政许可的其他情形。</w:t>
      </w:r>
    </w:p>
    <w:p w14:paraId="5C0467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被许可人以欺骗、贿赂等不正当手段取得行政许可的，科技部应当予以撤销。</w:t>
      </w:r>
    </w:p>
    <w:p w14:paraId="33609B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依照前两款的规定撤销行政许可，可能对公共利益造成重大损害的，不予撤销。</w:t>
      </w:r>
    </w:p>
    <w:p w14:paraId="318373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申请国际合作临床试验备案的，应当事先取得药品监督管理部门临床试验批件、通知书或者备案登记材料。</w:t>
      </w:r>
    </w:p>
    <w:p w14:paraId="2E8582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申请国际合作临床试验备案，应当提交下列材料：</w:t>
      </w:r>
    </w:p>
    <w:p w14:paraId="7F0C5B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（一）合作各方基本情况；</w:t>
      </w:r>
    </w:p>
    <w:p w14:paraId="41E115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（二）研究涉及使用的人类遗传资源种类、数量和用途；</w:t>
      </w:r>
    </w:p>
    <w:p w14:paraId="5AA38B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（三）研究方案；</w:t>
      </w:r>
    </w:p>
    <w:p w14:paraId="30F47D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（四）组长单位伦理审查批件；</w:t>
      </w:r>
    </w:p>
    <w:p w14:paraId="2D16FD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（五）其他证明材料。</w:t>
      </w:r>
    </w:p>
    <w:p w14:paraId="22CFCE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国际合作临床试验完成备案后，涉及的人类遗传资源种类、数量、用途发生变更，或者合作方、研究方案、研究内容、研究目的等重大事项发生变更的，备案人应当及时办理备案变更。</w:t>
      </w:r>
    </w:p>
    <w:p w14:paraId="114D05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研究方案或者研究内容变更不涉及人类遗传资源种类、数量、用途变化的，不需要办理备案变更，但应当在变更活动开始前向科技部提交事项变更的书面说明及相应材料。</w:t>
      </w:r>
    </w:p>
    <w:p w14:paraId="25A849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向境外组织、个人及其设立或者实际控制的机构提供或者开放使用人类遗传资源信息向科技部事先报告后，用途、接收方等事项发生变更的，应当在变更事项实施前向科技部提交事项变更报告。</w:t>
      </w:r>
    </w:p>
    <w:p w14:paraId="3D5BD9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第五十五条</w:t>
      </w:r>
      <w:r>
        <w:rPr>
          <w:rFonts w:hint="default" w:ascii="仿宋_GB2312" w:hAnsi="微软雅黑" w:eastAsia="仿宋_GB2312" w:cs="仿宋_GB2312"/>
          <w:i w:val="0"/>
          <w:iCs w:val="0"/>
          <w:caps w:val="0"/>
          <w:color w:val="333333"/>
          <w:spacing w:val="0"/>
          <w:sz w:val="25"/>
          <w:szCs w:val="25"/>
          <w:bdr w:val="none" w:color="auto" w:sz="0" w:space="0"/>
          <w:shd w:val="clear" w:fill="FFFFFF"/>
        </w:rPr>
        <w:t> 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14:paraId="13AE58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备案人需要延续备案有效期的，应当在该备案有效期限届满三十个工作日前向科技部提出申请。科技部应当在该备案有效期限届满前完成延续备案；逾期未完成的，视为已完成延续备案。</w:t>
      </w:r>
    </w:p>
    <w:p w14:paraId="65110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微软雅黑" w:hAnsi="微软雅黑" w:eastAsia="微软雅黑" w:cs="微软雅黑"/>
          <w:b w:val="0"/>
          <w:bCs w:val="0"/>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5"/>
          <w:szCs w:val="25"/>
          <w:bdr w:val="none" w:color="auto" w:sz="0" w:space="0"/>
          <w:shd w:val="clear" w:fill="FFFFFF"/>
        </w:rPr>
        <w:t> </w:t>
      </w:r>
    </w:p>
    <w:p w14:paraId="5623A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第五章  监督检查</w:t>
      </w:r>
    </w:p>
    <w:p w14:paraId="130065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第五十六条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科技部负责全国人类遗传资源监督检查，各省级科技行政部门负责本区域人类遗传资源监督检查。监督检查事项主要包括：</w:t>
      </w:r>
    </w:p>
    <w:p w14:paraId="7AA852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（一）人类遗传资源采集、保藏、利用、对外提供有关单位落实主体责任，建立、完善和执行有关规章制度的情况；</w:t>
      </w:r>
    </w:p>
    <w:p w14:paraId="2FF5E9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（二）获批人类遗传资源项目的有关单位采集、保藏、利用人类遗传资源的情况，材料或者信息出境、对外提供、开放使用以及出境后使用情况；</w:t>
      </w:r>
    </w:p>
    <w:p w14:paraId="5F242D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（三）利用人类遗传资源的剩余材料处置、知识产权及利益分享等情况；</w:t>
      </w:r>
    </w:p>
    <w:p w14:paraId="74358B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（四）人类遗传资源备案事项的真实性等情况；</w:t>
      </w:r>
    </w:p>
    <w:p w14:paraId="55BC0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（五）科技部或者省级科技行政部门认为需要监督检查的其他事项。</w:t>
      </w:r>
    </w:p>
    <w:p w14:paraId="116B15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科技部和省级科技行政部门应当编制年度监督检查计划，实施人类遗传资源风险管理。</w:t>
      </w:r>
    </w:p>
    <w:p w14:paraId="0E1D5D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年度监督检查计划应当包括检查事项、检查方式、检查频次以及抽查项目种类、抽查比例等内容。</w:t>
      </w:r>
    </w:p>
    <w:p w14:paraId="1E9AED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第五十八条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对近三年内因人类遗传资源违法行为被实施过行政处罚、存在人类遗传资源管理风险未及时改正，以及被记入相关失信惩戒名单的单位，科技部和省级科技行政部门应当加大监督检查频次，纳入年度日常监督检查计划并开展监督检查。对管理体系和管理规范明显改进、未再发生违法行为的单位，可以适时减少监督检查频次。</w:t>
      </w:r>
    </w:p>
    <w:p w14:paraId="17A463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第五十九条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对本实施细则第五十八条规定以外的其他单位，科技部和省级科技行政部门可以在该单位人类遗传资源活动范围内随机确定监督检查事项，随机选派监督检查人员，实施监督检查。</w:t>
      </w:r>
    </w:p>
    <w:p w14:paraId="27D29B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第六十条</w:t>
      </w:r>
      <w:r>
        <w:rPr>
          <w:rFonts w:hint="default" w:ascii="仿宋_GB2312" w:hAnsi="微软雅黑" w:eastAsia="仿宋_GB2312" w:cs="仿宋_GB2312"/>
          <w:i w:val="0"/>
          <w:iCs w:val="0"/>
          <w:caps w:val="0"/>
          <w:color w:val="333333"/>
          <w:spacing w:val="0"/>
          <w:sz w:val="25"/>
          <w:szCs w:val="25"/>
          <w:bdr w:val="none" w:color="auto" w:sz="0" w:space="0"/>
          <w:shd w:val="clear" w:fill="FFFFFF"/>
        </w:rPr>
        <w:t> 遇有严重违法行为或者临时性、突发性任务以及通过投诉举报、转办交办、数据监测等发现的问题，科技部和省级科技行政部门可以部署开展专项监督检查。</w:t>
      </w:r>
    </w:p>
    <w:p w14:paraId="7100C5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科技部和省级科技行政部门应当及时记录、汇总人类遗传资源活动日常监督检查信息，完善日常监督检查措施。</w:t>
      </w:r>
    </w:p>
    <w:p w14:paraId="1BE1EF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发现被监督检查对象可能存在违反《条例》有关规定的风险时，科技部或者省级科技行政部门可以对其法定代表人、主要负责人等进行行政约谈。</w:t>
      </w:r>
    </w:p>
    <w:p w14:paraId="3ED49A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发现被监督检查对象可能存在违反《条例》规定的行为，科技部或者省级科技行政部门应当进行调查，必要时可以采取下列措施：</w:t>
      </w:r>
    </w:p>
    <w:p w14:paraId="0C530E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（一）依法采取记录、复制、拍照、录像等措施；</w:t>
      </w:r>
    </w:p>
    <w:p w14:paraId="4993A8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（二）依法采取查封、扣押等行政强制措施；</w:t>
      </w:r>
    </w:p>
    <w:p w14:paraId="71D157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（三）依法对相关物品进行检测、检验、检疫或者鉴定。</w:t>
      </w:r>
    </w:p>
    <w:p w14:paraId="5E68B6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科技部或者省级科技行政部门实施行政强制措施应当依照《中华人民共和国行政强制法》规定的程序进行。</w:t>
      </w:r>
    </w:p>
    <w:p w14:paraId="51C989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第六十五条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科技部和省级科技行政部门采取或者解除行政强制措施，应当经本机关负责人批准。</w:t>
      </w:r>
    </w:p>
    <w:p w14:paraId="413867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依法实施查封、扣押强制措施的，应当制作并当场向当事人交付查封、扣押决定书和清单。情况紧急，不及时查封、扣押可能影响案件查处，或者存在可能导致人类遗传资源损毁灭失等隐患，可以先行实施查封、扣押，并在二十四小时内补办查封、扣押决定书，送达当事人。</w:t>
      </w:r>
    </w:p>
    <w:p w14:paraId="1DA09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微软雅黑" w:hAnsi="微软雅黑" w:eastAsia="微软雅黑" w:cs="微软雅黑"/>
          <w:b w:val="0"/>
          <w:bCs w:val="0"/>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5"/>
          <w:szCs w:val="25"/>
          <w:bdr w:val="none" w:color="auto" w:sz="0" w:space="0"/>
          <w:shd w:val="clear" w:fill="FFFFFF"/>
        </w:rPr>
        <w:t> </w:t>
      </w:r>
    </w:p>
    <w:p w14:paraId="53C4D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第六章  行政处罚</w:t>
      </w:r>
    </w:p>
    <w:p w14:paraId="26FCBB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第六十六条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和省级科技行政部门应当规范行使人类遗传资源行政处罚裁量权，综合考虑违法行为的事实、性质、情节以及社会危害程度，在《条例》规定范围内合理确定行政处罚的种类和幅度，确保过罚相当，防止畸轻畸重。</w:t>
      </w:r>
    </w:p>
    <w:p w14:paraId="2239CE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人类遗传资源行政处罚裁量基准由科技部另行制定并向社会公布。</w:t>
      </w:r>
    </w:p>
    <w:p w14:paraId="048E16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 拟给予行政处罚的案件，科技部和省级科技行政部门在作出行政处罚决定之前，应当书面告知当事人拟作出的行政处罚内容及事实、理由、依据，并告知当事人依法享有陈述、申辩的权利。拟作出的行政处罚属于听证范围的，还应当告知当事人有要求听证的权利。</w:t>
      </w:r>
    </w:p>
    <w:p w14:paraId="009CE6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当事人行使陈述、申辩权或者要求听证的，应当自告知书送达之日起五个工作日内书面提出，逾期未提出的，视为放弃上述权利。</w:t>
      </w:r>
    </w:p>
    <w:p w14:paraId="1C4844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科技部和省级科技行政部门不得因当事人陈述、申辩或者听证而给予更重的处罚。</w:t>
      </w:r>
    </w:p>
    <w:p w14:paraId="109C0C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第六十八条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科技部或者省级科技行政部门拟作出下列行政处罚决定，当事人要求听证的，应当组织听证：</w:t>
      </w:r>
    </w:p>
    <w:p w14:paraId="21CE49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（一）对法人、其他组织处以一百万元以上罚款或者对公民处以十万元以上罚款的；</w:t>
      </w:r>
    </w:p>
    <w:p w14:paraId="094CDD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（二）没收法人、其他组织违法所得三百万元以上或者没收公民违法所得三十万元以上的；</w:t>
      </w:r>
    </w:p>
    <w:p w14:paraId="7E8781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（三）禁止一年以上从事采集、保藏、利用、对外提供我国人类遗传资源活动的；</w:t>
      </w:r>
    </w:p>
    <w:p w14:paraId="3BBECB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（四）二年以上不受理人类遗传资源行政许可申请的；</w:t>
      </w:r>
    </w:p>
    <w:p w14:paraId="3BEEA8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（五）撤销已取得的人类遗传资源行政许可的；</w:t>
      </w:r>
    </w:p>
    <w:p w14:paraId="2714A1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（六）法律、行政法规规定应当组织听证的其他情形。</w:t>
      </w:r>
    </w:p>
    <w:p w14:paraId="224549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第六十九条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或者省级科技行政部门作出人类遗传资源行政处罚决定前，本部门案件办理机构应当将拟作出的行政处罚决定及案件材料送本部门负责法制审核的工作机构进行法制审核。未经法制审核或者审核未通过的，不得作出决定。</w:t>
      </w:r>
    </w:p>
    <w:p w14:paraId="651F12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92"/>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拟作出的行政处罚决定仅涉及警告的，不需要进行法制审核。</w:t>
      </w:r>
    </w:p>
    <w:p w14:paraId="1EEF92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第七十条</w:t>
      </w:r>
      <w:r>
        <w:rPr>
          <w:rFonts w:hint="default" w:ascii="仿宋_GB2312" w:hAnsi="微软雅黑" w:eastAsia="仿宋_GB2312" w:cs="仿宋_GB2312"/>
          <w:i w:val="0"/>
          <w:iCs w:val="0"/>
          <w:caps w:val="0"/>
          <w:color w:val="333333"/>
          <w:spacing w:val="0"/>
          <w:sz w:val="25"/>
          <w:szCs w:val="25"/>
          <w:bdr w:val="none" w:color="auto" w:sz="0" w:space="0"/>
          <w:shd w:val="clear" w:fill="FFFFFF"/>
        </w:rPr>
        <w:t> 行政处罚决定书作出后，科技部或者省级科技行政部门应当在七个工作日内依照有关法律规定，将行政处罚决定书送达当事人或者其他的法定受送达人。</w:t>
      </w:r>
    </w:p>
    <w:p w14:paraId="4E6A67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第七十一条</w:t>
      </w:r>
      <w:r>
        <w:rPr>
          <w:rFonts w:hint="default" w:ascii="仿宋_GB2312" w:hAnsi="微软雅黑" w:eastAsia="仿宋_GB2312" w:cs="仿宋_GB2312"/>
          <w:i w:val="0"/>
          <w:iCs w:val="0"/>
          <w:caps w:val="0"/>
          <w:color w:val="333333"/>
          <w:spacing w:val="0"/>
          <w:sz w:val="25"/>
          <w:szCs w:val="25"/>
          <w:bdr w:val="none" w:color="auto" w:sz="0" w:space="0"/>
          <w:shd w:val="clear" w:fill="FFFFFF"/>
        </w:rPr>
        <w:t> 行政处罚决定应当自立案之日起九十日内作出。案情复杂，不能在九十日内作出行政处罚决定的，经本机关负责人批准，可以延长九十日。案情特别复杂，经延期仍不能作出行政处罚决定的，经本机关负责人集体讨论决定是否继续延期。决定延期的，应当同时确定延长的合理期限，但最长不得超过六十日。</w:t>
      </w:r>
    </w:p>
    <w:p w14:paraId="0F9073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5"/>
          <w:szCs w:val="25"/>
          <w:bdr w:val="none" w:color="auto" w:sz="0" w:space="0"/>
          <w:shd w:val="clear" w:fill="FFFFFF"/>
        </w:rPr>
        <w:t>案件办理过程中，听证、公告、检测、检验、检疫、鉴定、审计、中止等时间，不计入本条第一款所指的案件办理期限。</w:t>
      </w:r>
    </w:p>
    <w:p w14:paraId="39EB17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第七十二条</w:t>
      </w:r>
      <w:r>
        <w:rPr>
          <w:rFonts w:hint="default" w:ascii="仿宋_GB2312" w:hAnsi="微软雅黑" w:eastAsia="仿宋_GB2312" w:cs="仿宋_GB2312"/>
          <w:i w:val="0"/>
          <w:iCs w:val="0"/>
          <w:caps w:val="0"/>
          <w:color w:val="333333"/>
          <w:spacing w:val="0"/>
          <w:sz w:val="25"/>
          <w:szCs w:val="25"/>
          <w:bdr w:val="none" w:color="auto" w:sz="0" w:space="0"/>
          <w:shd w:val="clear" w:fill="FFFFFF"/>
        </w:rPr>
        <w:t> 《条例》第三十六条、第三十九条、第四十一条、第四十二条、第四十三条规定的违法所得，以实施违法行为所获得的全部收入扣除适当的合理支出计算；难以计算的，以违法行为涉及的人类遗传资源价值计算或者为人类遗传资源投入的资金数额作为违法所得。</w:t>
      </w:r>
    </w:p>
    <w:p w14:paraId="659327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第七十三条</w:t>
      </w:r>
      <w:r>
        <w:rPr>
          <w:rFonts w:hint="default" w:ascii="仿宋_GB2312" w:hAnsi="微软雅黑" w:eastAsia="仿宋_GB2312" w:cs="仿宋_GB2312"/>
          <w:i w:val="0"/>
          <w:iCs w:val="0"/>
          <w:caps w:val="0"/>
          <w:color w:val="333333"/>
          <w:spacing w:val="0"/>
          <w:sz w:val="25"/>
          <w:szCs w:val="25"/>
          <w:bdr w:val="none" w:color="auto" w:sz="0" w:space="0"/>
          <w:shd w:val="clear" w:fill="FFFFFF"/>
        </w:rPr>
        <w:t> 在人类遗传资源监督检查或者违法案件调查处理中，发现相关公民、法人或者其他组织不具备人类遗传资源存储条件的，科技部或者省级科技行政部门应当组织将其存储的人类遗传资源转移至具备存储条件的单位临时存储。</w:t>
      </w:r>
    </w:p>
    <w:p w14:paraId="0D27A4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第七十四条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省级科技行政部门依法作出人类遗传资源行政处罚的，应当自行政处罚决定作出之日起十五个工作日内将案件处理情况及行政处罚决定书副本报送科技部。</w:t>
      </w:r>
    </w:p>
    <w:p w14:paraId="17A563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第七十五条</w:t>
      </w:r>
      <w:r>
        <w:rPr>
          <w:rFonts w:hint="default" w:ascii="仿宋_GB2312" w:hAnsi="微软雅黑" w:eastAsia="仿宋_GB2312" w:cs="仿宋_GB2312"/>
          <w:i w:val="0"/>
          <w:iCs w:val="0"/>
          <w:caps w:val="0"/>
          <w:color w:val="333333"/>
          <w:spacing w:val="0"/>
          <w:sz w:val="25"/>
          <w:szCs w:val="25"/>
          <w:bdr w:val="none" w:color="auto" w:sz="0" w:space="0"/>
          <w:shd w:val="clear" w:fill="FFFFFF"/>
        </w:rPr>
        <w:t> 科技部有权对省级科技行政部门实施的人类遗传资源行政处罚进行监督，依法对有关违法或者不当行为责令改正。</w:t>
      </w:r>
    </w:p>
    <w:p w14:paraId="48C00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微软雅黑" w:hAnsi="微软雅黑" w:eastAsia="微软雅黑" w:cs="微软雅黑"/>
          <w:b w:val="0"/>
          <w:bCs w:val="0"/>
          <w:i w:val="0"/>
          <w:iCs w:val="0"/>
          <w:caps w:val="0"/>
          <w:color w:val="333333"/>
          <w:spacing w:val="0"/>
          <w:sz w:val="19"/>
          <w:szCs w:val="19"/>
        </w:rPr>
      </w:pPr>
      <w:r>
        <w:rPr>
          <w:rFonts w:hint="default" w:ascii="仿宋_GB2312" w:hAnsi="微软雅黑" w:eastAsia="仿宋_GB2312" w:cs="仿宋_GB2312"/>
          <w:b w:val="0"/>
          <w:bCs w:val="0"/>
          <w:i w:val="0"/>
          <w:iCs w:val="0"/>
          <w:caps w:val="0"/>
          <w:color w:val="333333"/>
          <w:spacing w:val="0"/>
          <w:sz w:val="25"/>
          <w:szCs w:val="25"/>
          <w:bdr w:val="none" w:color="auto" w:sz="0" w:space="0"/>
          <w:shd w:val="clear" w:fill="FFFFFF"/>
        </w:rPr>
        <w:t> </w:t>
      </w:r>
    </w:p>
    <w:p w14:paraId="1AA69D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19"/>
          <w:szCs w:val="19"/>
        </w:rPr>
      </w:pPr>
      <w:r>
        <w:rPr>
          <w:rFonts w:hint="eastAsia" w:ascii="黑体" w:hAnsi="宋体" w:eastAsia="黑体" w:cs="黑体"/>
          <w:b w:val="0"/>
          <w:bCs w:val="0"/>
          <w:i w:val="0"/>
          <w:iCs w:val="0"/>
          <w:caps w:val="0"/>
          <w:color w:val="333333"/>
          <w:spacing w:val="0"/>
          <w:sz w:val="25"/>
          <w:szCs w:val="25"/>
          <w:bdr w:val="none" w:color="auto" w:sz="0" w:space="0"/>
          <w:shd w:val="clear" w:fill="FFFFFF"/>
        </w:rPr>
        <w:t>第七章  附  则</w:t>
      </w:r>
    </w:p>
    <w:p w14:paraId="374AC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第七十六条</w:t>
      </w:r>
      <w:r>
        <w:rPr>
          <w:rFonts w:hint="default" w:ascii="仿宋_GB2312" w:hAnsi="微软雅黑" w:eastAsia="仿宋_GB2312" w:cs="仿宋_GB2312"/>
          <w:i w:val="0"/>
          <w:iCs w:val="0"/>
          <w:caps w:val="0"/>
          <w:color w:val="333333"/>
          <w:spacing w:val="0"/>
          <w:sz w:val="25"/>
          <w:szCs w:val="25"/>
          <w:bdr w:val="none" w:color="auto" w:sz="0" w:space="0"/>
          <w:shd w:val="clear" w:fill="FFFFFF"/>
        </w:rPr>
        <w:t> 本实施细则中涉及期限的规定，注明为工作日的，不包含法定节假日；未注明为工作日的，为自然日。</w:t>
      </w:r>
    </w:p>
    <w:p w14:paraId="784AA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第七十七条</w:t>
      </w:r>
      <w:r>
        <w:rPr>
          <w:rFonts w:hint="default" w:ascii="仿宋_GB2312" w:hAnsi="微软雅黑" w:eastAsia="仿宋_GB2312" w:cs="仿宋_GB2312"/>
          <w:i w:val="0"/>
          <w:iCs w:val="0"/>
          <w:caps w:val="0"/>
          <w:color w:val="333333"/>
          <w:spacing w:val="0"/>
          <w:sz w:val="25"/>
          <w:szCs w:val="25"/>
          <w:bdr w:val="none" w:color="auto" w:sz="0" w:space="0"/>
          <w:shd w:val="clear" w:fill="FFFFFF"/>
        </w:rPr>
        <w:t> 本实施细则所称“以上”“不超过”均包含本数，“大于”“不足”不包含本数。</w:t>
      </w:r>
    </w:p>
    <w:p w14:paraId="6E43D4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516"/>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25"/>
          <w:szCs w:val="25"/>
          <w:bdr w:val="none" w:color="auto" w:sz="0" w:space="0"/>
          <w:shd w:val="clear" w:fill="FFFFFF"/>
        </w:rPr>
        <w:t>第七十八条</w:t>
      </w:r>
      <w:r>
        <w:rPr>
          <w:rFonts w:hint="default" w:ascii="仿宋_GB2312" w:hAnsi="微软雅黑" w:eastAsia="仿宋_GB2312" w:cs="仿宋_GB2312"/>
          <w:i w:val="0"/>
          <w:iCs w:val="0"/>
          <w:caps w:val="0"/>
          <w:color w:val="333333"/>
          <w:spacing w:val="0"/>
          <w:sz w:val="25"/>
          <w:szCs w:val="25"/>
          <w:bdr w:val="none" w:color="auto" w:sz="0" w:space="0"/>
          <w:shd w:val="clear" w:fill="FFFFFF"/>
        </w:rPr>
        <w:t> 本实施细则自2023年7月1日施行。</w:t>
      </w:r>
    </w:p>
    <w:p w14:paraId="214D06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45DC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2024-07-15T03:00:32Z</dcterms:created>
  <dc:creator>Administrator.Micro-2020VYXHP</dc:creator>
  <cp:lastModifiedBy>ZXR</cp:lastModifiedBy>
  <dcterms:modified xsi:type="dcterms:W3CDTF">2024-07-15T03:00:45Z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637CAD3FD7E04464BF071192638DE02B_12</vt:lpwstr>
  </property>
</Properties>
</file>